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7D" w:rsidRDefault="005B4404" w:rsidP="005B4404">
      <w:pPr>
        <w:pStyle w:val="Title"/>
      </w:pPr>
      <w:r>
        <w:t>Component Based Development in Perforce</w:t>
      </w:r>
    </w:p>
    <w:p w:rsidR="005B4404" w:rsidRDefault="005B4404" w:rsidP="005B4404">
      <w:pPr>
        <w:pStyle w:val="Subtitle"/>
      </w:pPr>
      <w:r>
        <w:t>A Reference Implementation Tool Set</w:t>
      </w:r>
    </w:p>
    <w:p w:rsidR="00505FA0" w:rsidRPr="00505FA0" w:rsidRDefault="00505FA0" w:rsidP="00505FA0">
      <w:pPr>
        <w:pStyle w:val="Heading1"/>
      </w:pPr>
      <w:r>
        <w:t>Introduction</w:t>
      </w:r>
    </w:p>
    <w:p w:rsidR="00505FA0" w:rsidRDefault="00505FA0" w:rsidP="00505FA0">
      <w:r>
        <w:t>Component based development (CBD) adopts production line techniques for software development.  A complex product may be composed of tens or hundreds of component building blocks.  Each component may be developed by a specialized team, working on an independent iteration cycle.  A product architect will define how the complete product is assembled from specific versions of the necessary components.  The CDB process provides some insulation from the vagaries of scheduling such a complex effort, just as a car may be shipped with the latest stable version of a GPS navigation system in order to maintain the overall delivery schedule.</w:t>
      </w:r>
    </w:p>
    <w:p w:rsidR="005B4404" w:rsidRDefault="00505FA0" w:rsidP="00505FA0">
      <w:r>
        <w:t>However, just as changing manufacturing specifications require close coordination of the production line, the components of a complex software product must be compatible at some interface level.  Additionally, in many industries a finished product can be configured in specific ways for particular customers.  In the cellular communication industry, a chip set may be tailored for different networks and carriers, resulting in a complex feature matrix.</w:t>
      </w:r>
    </w:p>
    <w:p w:rsidR="00505FA0" w:rsidRDefault="00505FA0" w:rsidP="00505FA0">
      <w:r>
        <w:t>This document describes a reference implementation of a tool set for managing CBD in Perforce.</w:t>
      </w:r>
    </w:p>
    <w:p w:rsidR="000F4550" w:rsidRDefault="000F4550" w:rsidP="000F4550">
      <w:pPr>
        <w:pStyle w:val="Heading1"/>
      </w:pPr>
      <w:r>
        <w:t>Introduction to the Tools</w:t>
      </w:r>
    </w:p>
    <w:p w:rsidR="000F4550" w:rsidRDefault="000F4550" w:rsidP="000F4550">
      <w:r>
        <w:t xml:space="preserve">All scripts and configuration data are kept in a depot called </w:t>
      </w:r>
      <w:r w:rsidRPr="000F4550">
        <w:rPr>
          <w:rStyle w:val="CodeChar"/>
        </w:rPr>
        <w:t>cbd</w:t>
      </w:r>
      <w:r>
        <w:t xml:space="preserve">.  In the distribution you will find all the pieces of the tool kit as they should be checked into the </w:t>
      </w:r>
      <w:r w:rsidRPr="000F4550">
        <w:rPr>
          <w:rStyle w:val="CodeChar"/>
        </w:rPr>
        <w:t>cbd</w:t>
      </w:r>
      <w:r>
        <w:t xml:space="preserve"> depot.</w:t>
      </w:r>
    </w:p>
    <w:p w:rsidR="000F4550" w:rsidRDefault="000F4550" w:rsidP="00D62EEB">
      <w:pPr>
        <w:pStyle w:val="Code"/>
      </w:pPr>
      <w:r>
        <w:rPr>
          <w:rFonts w:ascii="Arial" w:hAnsi="Arial" w:cs="Arial"/>
        </w:rPr>
        <w:t>├</w:t>
      </w:r>
      <w:r>
        <w:rPr>
          <w:rFonts w:ascii="Calibri" w:hAnsi="Calibri" w:cs="Calibri"/>
        </w:rPr>
        <w:t>───</w:t>
      </w:r>
      <w:r>
        <w:t xml:space="preserve">applets </w:t>
      </w:r>
    </w:p>
    <w:p w:rsidR="000F4550" w:rsidRDefault="000F4550" w:rsidP="00D62EEB">
      <w:pPr>
        <w:pStyle w:val="Code"/>
      </w:pPr>
      <w:r>
        <w:rPr>
          <w:rFonts w:ascii="Arial" w:hAnsi="Arial" w:cs="Arial"/>
        </w:rPr>
        <w:t>├</w:t>
      </w:r>
      <w:r>
        <w:rPr>
          <w:rFonts w:ascii="Calibri" w:hAnsi="Calibri" w:cs="Calibri"/>
        </w:rPr>
        <w:t>───</w:t>
      </w:r>
      <w:r>
        <w:t>broker</w:t>
      </w:r>
    </w:p>
    <w:p w:rsidR="000F4550" w:rsidRDefault="000F4550" w:rsidP="00D62EEB">
      <w:pPr>
        <w:pStyle w:val="Code"/>
      </w:pPr>
      <w:r>
        <w:rPr>
          <w:rFonts w:ascii="Arial" w:hAnsi="Arial" w:cs="Arial"/>
        </w:rPr>
        <w:t>├</w:t>
      </w:r>
      <w:r>
        <w:rPr>
          <w:rFonts w:ascii="Calibri" w:hAnsi="Calibri" w:cs="Calibri"/>
        </w:rPr>
        <w:t>───</w:t>
      </w:r>
      <w:r>
        <w:t>configurations</w:t>
      </w:r>
    </w:p>
    <w:p w:rsidR="000F4550" w:rsidRDefault="000F4550" w:rsidP="00D62EEB">
      <w:pPr>
        <w:pStyle w:val="Code"/>
      </w:pPr>
      <w:r>
        <w:rPr>
          <w:rFonts w:ascii="Arial" w:hAnsi="Arial" w:cs="Arial"/>
        </w:rPr>
        <w:t>├</w:t>
      </w:r>
      <w:r>
        <w:rPr>
          <w:rFonts w:ascii="Calibri" w:hAnsi="Calibri" w:cs="Calibri"/>
        </w:rPr>
        <w:t>───</w:t>
      </w:r>
      <w:r>
        <w:t>log</w:t>
      </w:r>
    </w:p>
    <w:p w:rsidR="000F4550" w:rsidRDefault="000F4550" w:rsidP="00D62EEB">
      <w:pPr>
        <w:pStyle w:val="Code"/>
      </w:pPr>
      <w:r>
        <w:rPr>
          <w:rFonts w:ascii="Arial" w:hAnsi="Arial" w:cs="Arial"/>
        </w:rPr>
        <w:t>├</w:t>
      </w:r>
      <w:r>
        <w:rPr>
          <w:rFonts w:ascii="Calibri" w:hAnsi="Calibri" w:cs="Calibri"/>
        </w:rPr>
        <w:t>───</w:t>
      </w:r>
      <w:r>
        <w:t>sample_depot</w:t>
      </w:r>
    </w:p>
    <w:p w:rsidR="000F4550" w:rsidRDefault="000F4550" w:rsidP="00D62EEB">
      <w:pPr>
        <w:pStyle w:val="Code"/>
      </w:pPr>
      <w:r>
        <w:rPr>
          <w:rFonts w:ascii="Arial" w:hAnsi="Arial" w:cs="Arial"/>
        </w:rPr>
        <w:t>├</w:t>
      </w:r>
      <w:r>
        <w:rPr>
          <w:rFonts w:ascii="Calibri" w:hAnsi="Calibri" w:cs="Calibri"/>
        </w:rPr>
        <w:t>───</w:t>
      </w:r>
      <w:r>
        <w:t>scripts</w:t>
      </w:r>
    </w:p>
    <w:p w:rsidR="000F4550" w:rsidRDefault="000F4550" w:rsidP="00D62EEB">
      <w:pPr>
        <w:pStyle w:val="Code"/>
      </w:pPr>
      <w:r>
        <w:t>└───secure</w:t>
      </w:r>
    </w:p>
    <w:p w:rsidR="0048548E" w:rsidRDefault="0048548E" w:rsidP="0048548E">
      <w:pPr>
        <w:pStyle w:val="Heading2"/>
      </w:pPr>
      <w:r>
        <w:t>Installation</w:t>
      </w:r>
    </w:p>
    <w:p w:rsidR="0048548E" w:rsidRDefault="0048548E" w:rsidP="0048548E">
      <w:pPr>
        <w:pStyle w:val="ListParagraph"/>
        <w:numPr>
          <w:ilvl w:val="0"/>
          <w:numId w:val="4"/>
        </w:numPr>
      </w:pPr>
      <w:r>
        <w:t>Install and configure the Perforce broker</w:t>
      </w:r>
      <w:r w:rsidR="006F71E7">
        <w:t xml:space="preserve"> using </w:t>
      </w:r>
      <w:r w:rsidR="006F71E7" w:rsidRPr="00D62EEB">
        <w:rPr>
          <w:rStyle w:val="CodeChar"/>
        </w:rPr>
        <w:t>//cbd/broker/broker.conf</w:t>
      </w:r>
      <w:r w:rsidR="006F71E7">
        <w:t xml:space="preserve"> as an example</w:t>
      </w:r>
      <w:r>
        <w:t>.</w:t>
      </w:r>
      <w:r w:rsidR="000D1DCE">
        <w:t xml:space="preserve">  You will need to put the shell scripts in </w:t>
      </w:r>
      <w:r w:rsidR="000D1DCE" w:rsidRPr="00D62EEB">
        <w:rPr>
          <w:rStyle w:val="CodeChar"/>
        </w:rPr>
        <w:t>//cbd/scripts</w:t>
      </w:r>
      <w:r w:rsidR="000D1DCE">
        <w:t xml:space="preserve"> under the broker working directory.</w:t>
      </w:r>
    </w:p>
    <w:p w:rsidR="0048548E" w:rsidRDefault="0048548E" w:rsidP="0048548E">
      <w:pPr>
        <w:pStyle w:val="ListParagraph"/>
        <w:numPr>
          <w:ilvl w:val="0"/>
          <w:numId w:val="4"/>
        </w:numPr>
      </w:pPr>
      <w:r>
        <w:t xml:space="preserve">On the broker machine, set the environment variable </w:t>
      </w:r>
      <w:r w:rsidRPr="0048548E">
        <w:rPr>
          <w:rStyle w:val="CodeChar"/>
        </w:rPr>
        <w:t>CBD_HOME</w:t>
      </w:r>
      <w:r>
        <w:t xml:space="preserve"> to point to a local copy of the </w:t>
      </w:r>
      <w:r w:rsidRPr="0048548E">
        <w:rPr>
          <w:rStyle w:val="CodeChar"/>
        </w:rPr>
        <w:t>cbd</w:t>
      </w:r>
      <w:r>
        <w:t xml:space="preserve"> depot.</w:t>
      </w:r>
    </w:p>
    <w:p w:rsidR="0048548E" w:rsidRDefault="0048548E" w:rsidP="0048548E">
      <w:pPr>
        <w:pStyle w:val="ListParagraph"/>
        <w:numPr>
          <w:ilvl w:val="0"/>
          <w:numId w:val="4"/>
        </w:numPr>
      </w:pPr>
      <w:r>
        <w:t xml:space="preserve">Enable the </w:t>
      </w:r>
      <w:r w:rsidRPr="0048548E">
        <w:rPr>
          <w:rStyle w:val="CodeChar"/>
        </w:rPr>
        <w:t>spec</w:t>
      </w:r>
      <w:r>
        <w:t xml:space="preserve"> depot.</w:t>
      </w:r>
    </w:p>
    <w:p w:rsidR="004516B2" w:rsidRDefault="004516B2" w:rsidP="0048548E">
      <w:pPr>
        <w:pStyle w:val="ListParagraph"/>
        <w:numPr>
          <w:ilvl w:val="0"/>
          <w:numId w:val="4"/>
        </w:numPr>
      </w:pPr>
      <w:r>
        <w:t xml:space="preserve">On the broker machine, set up a workspace called </w:t>
      </w:r>
      <w:r w:rsidRPr="004516B2">
        <w:rPr>
          <w:rStyle w:val="CodeChar"/>
        </w:rPr>
        <w:t>cbd_manager</w:t>
      </w:r>
      <w:r>
        <w:t xml:space="preserve"> that maps in the entire </w:t>
      </w:r>
      <w:r w:rsidRPr="004516B2">
        <w:rPr>
          <w:rStyle w:val="CodeChar"/>
        </w:rPr>
        <w:t>cbd</w:t>
      </w:r>
      <w:r>
        <w:t xml:space="preserve"> depot.  The broker will use this for applet-driven configuration updates.</w:t>
      </w:r>
    </w:p>
    <w:p w:rsidR="00812DB1" w:rsidRDefault="00812DB1" w:rsidP="0048548E">
      <w:pPr>
        <w:pStyle w:val="ListParagraph"/>
        <w:numPr>
          <w:ilvl w:val="0"/>
          <w:numId w:val="4"/>
        </w:numPr>
      </w:pPr>
      <w:r>
        <w:t xml:space="preserve">As a best practice, use the </w:t>
      </w:r>
      <w:r w:rsidRPr="00812DB1">
        <w:rPr>
          <w:rStyle w:val="CodeChar"/>
        </w:rPr>
        <w:t>+l</w:t>
      </w:r>
      <w:r>
        <w:t xml:space="preserve"> file type modifier on the entire </w:t>
      </w:r>
      <w:r w:rsidRPr="00812DB1">
        <w:rPr>
          <w:rStyle w:val="CodeChar"/>
        </w:rPr>
        <w:t>cbd</w:t>
      </w:r>
      <w:r>
        <w:t xml:space="preserve"> depot to prevent concurrent updates of configuration files and important scripts.</w:t>
      </w:r>
    </w:p>
    <w:p w:rsidR="00AF2091" w:rsidRPr="0048548E" w:rsidRDefault="00AF2091" w:rsidP="0048548E">
      <w:pPr>
        <w:pStyle w:val="ListParagraph"/>
        <w:numPr>
          <w:ilvl w:val="0"/>
          <w:numId w:val="4"/>
        </w:numPr>
      </w:pPr>
      <w:r>
        <w:lastRenderedPageBreak/>
        <w:t xml:space="preserve">Create a file </w:t>
      </w:r>
      <w:r w:rsidRPr="009774A3">
        <w:rPr>
          <w:rStyle w:val="CodeChar"/>
        </w:rPr>
        <w:t>//cbd/secure/login.cfg</w:t>
      </w:r>
      <w:r>
        <w:t xml:space="preserve"> that has authentication credentials for the broker scripts.  It should list the user name on the first line and the password on the second line.  You can add any appropriate access control to this file so it is not visible to ordinary users.</w:t>
      </w:r>
    </w:p>
    <w:p w:rsidR="00A84B54" w:rsidRDefault="00A84B54" w:rsidP="00A84B54">
      <w:pPr>
        <w:pStyle w:val="Heading1"/>
      </w:pPr>
      <w:r>
        <w:t xml:space="preserve">The CBD </w:t>
      </w:r>
      <w:r w:rsidR="0033659E">
        <w:t xml:space="preserve">Data </w:t>
      </w:r>
      <w:r>
        <w:t>Model</w:t>
      </w:r>
    </w:p>
    <w:p w:rsidR="00A84B54" w:rsidRDefault="00A84B54" w:rsidP="00A84B54">
      <w:r>
        <w:t>The tool set uses the following model.  A configuration is defined as a set of one or more components.  Each component is specified using four pieces of information:</w:t>
      </w:r>
    </w:p>
    <w:tbl>
      <w:tblPr>
        <w:tblStyle w:val="LightList-Accent4"/>
        <w:tblW w:w="0" w:type="auto"/>
        <w:tblLook w:val="04A0" w:firstRow="1" w:lastRow="0" w:firstColumn="1" w:lastColumn="0" w:noHBand="0" w:noVBand="1"/>
      </w:tblPr>
      <w:tblGrid>
        <w:gridCol w:w="1998"/>
        <w:gridCol w:w="4590"/>
        <w:gridCol w:w="2988"/>
      </w:tblGrid>
      <w:tr w:rsidR="00A84B54" w:rsidTr="00EA74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tcPr>
          <w:p w:rsidR="00A84B54" w:rsidRDefault="00A84B54" w:rsidP="00A84B54">
            <w:r>
              <w:t>Field</w:t>
            </w:r>
          </w:p>
        </w:tc>
        <w:tc>
          <w:tcPr>
            <w:tcW w:w="4590" w:type="dxa"/>
          </w:tcPr>
          <w:p w:rsidR="00A84B54" w:rsidRDefault="00A84B54" w:rsidP="00A84B54">
            <w:pPr>
              <w:cnfStyle w:val="100000000000" w:firstRow="1" w:lastRow="0" w:firstColumn="0" w:lastColumn="0" w:oddVBand="0" w:evenVBand="0" w:oddHBand="0" w:evenHBand="0" w:firstRowFirstColumn="0" w:firstRowLastColumn="0" w:lastRowFirstColumn="0" w:lastRowLastColumn="0"/>
            </w:pPr>
            <w:r>
              <w:t>Purpose</w:t>
            </w:r>
          </w:p>
        </w:tc>
        <w:tc>
          <w:tcPr>
            <w:tcW w:w="2988" w:type="dxa"/>
          </w:tcPr>
          <w:p w:rsidR="00A84B54" w:rsidRDefault="00A84B54" w:rsidP="00A84B54">
            <w:pPr>
              <w:cnfStyle w:val="100000000000" w:firstRow="1" w:lastRow="0" w:firstColumn="0" w:lastColumn="0" w:oddVBand="0" w:evenVBand="0" w:oddHBand="0" w:evenHBand="0" w:firstRowFirstColumn="0" w:firstRowLastColumn="0" w:lastRowFirstColumn="0" w:lastRowLastColumn="0"/>
            </w:pPr>
            <w:r>
              <w:t>Example Value</w:t>
            </w:r>
          </w:p>
        </w:tc>
      </w:tr>
      <w:tr w:rsidR="00A84B54" w:rsidTr="00EA7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84B54" w:rsidRDefault="00A84B54" w:rsidP="00A84B54">
            <w:r>
              <w:t>Depot path</w:t>
            </w:r>
          </w:p>
        </w:tc>
        <w:tc>
          <w:tcPr>
            <w:tcW w:w="4590" w:type="dxa"/>
          </w:tcPr>
          <w:p w:rsidR="00A84B54" w:rsidRDefault="00A84B54" w:rsidP="00A84B54">
            <w:pPr>
              <w:cnfStyle w:val="000000100000" w:firstRow="0" w:lastRow="0" w:firstColumn="0" w:lastColumn="0" w:oddVBand="0" w:evenVBand="0" w:oddHBand="1" w:evenHBand="0" w:firstRowFirstColumn="0" w:firstRowLastColumn="0" w:lastRowFirstColumn="0" w:lastRowLastColumn="0"/>
            </w:pPr>
            <w:r>
              <w:t>Locates the component in the Perforce repository.</w:t>
            </w:r>
          </w:p>
        </w:tc>
        <w:tc>
          <w:tcPr>
            <w:tcW w:w="2988" w:type="dxa"/>
          </w:tcPr>
          <w:p w:rsidR="00A84B54" w:rsidRPr="00A84B54" w:rsidRDefault="00A84B54" w:rsidP="00A84B54">
            <w:pPr>
              <w:pStyle w:val="Code"/>
              <w:cnfStyle w:val="000000100000" w:firstRow="0" w:lastRow="0" w:firstColumn="0" w:lastColumn="0" w:oddVBand="0" w:evenVBand="0" w:oddHBand="1" w:evenHBand="0" w:firstRowFirstColumn="0" w:firstRowLastColumn="0" w:lastRowFirstColumn="0" w:lastRowLastColumn="0"/>
            </w:pPr>
            <w:r w:rsidRPr="00A84B54">
              <w:t>//depot/comp/abc/main/…</w:t>
            </w:r>
          </w:p>
        </w:tc>
      </w:tr>
      <w:tr w:rsidR="00A84B54" w:rsidTr="00EA74D7">
        <w:tc>
          <w:tcPr>
            <w:cnfStyle w:val="001000000000" w:firstRow="0" w:lastRow="0" w:firstColumn="1" w:lastColumn="0" w:oddVBand="0" w:evenVBand="0" w:oddHBand="0" w:evenHBand="0" w:firstRowFirstColumn="0" w:firstRowLastColumn="0" w:lastRowFirstColumn="0" w:lastRowLastColumn="0"/>
            <w:tcW w:w="1998" w:type="dxa"/>
          </w:tcPr>
          <w:p w:rsidR="00A84B54" w:rsidRDefault="00A84B54" w:rsidP="00A84B54">
            <w:r>
              <w:t>Access</w:t>
            </w:r>
          </w:p>
        </w:tc>
        <w:tc>
          <w:tcPr>
            <w:tcW w:w="4590" w:type="dxa"/>
          </w:tcPr>
          <w:p w:rsidR="00A84B54" w:rsidRDefault="00A84B54" w:rsidP="00A84B54">
            <w:pPr>
              <w:cnfStyle w:val="000000000000" w:firstRow="0" w:lastRow="0" w:firstColumn="0" w:lastColumn="0" w:oddVBand="0" w:evenVBand="0" w:oddHBand="0" w:evenHBand="0" w:firstRowFirstColumn="0" w:firstRowLastColumn="0" w:lastRowFirstColumn="0" w:lastRowLastColumn="0"/>
            </w:pPr>
            <w:r>
              <w:t xml:space="preserve">Describes how the component may be used in this configuration.  </w:t>
            </w:r>
          </w:p>
          <w:p w:rsidR="00A84B54" w:rsidRDefault="00A84B54" w:rsidP="00A84B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84B54">
              <w:rPr>
                <w:rStyle w:val="CodeChar"/>
              </w:rPr>
              <w:t>Active</w:t>
            </w:r>
            <w:r>
              <w:t xml:space="preserve"> components may be used freely.</w:t>
            </w:r>
          </w:p>
          <w:p w:rsidR="00A84B54" w:rsidRDefault="00A84B54" w:rsidP="00A84B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84B54">
              <w:rPr>
                <w:rStyle w:val="CodeChar"/>
              </w:rPr>
              <w:t>Write</w:t>
            </w:r>
            <w:r>
              <w:t xml:space="preserve"> components may be edited but will not accept merge changes or refactoring.</w:t>
            </w:r>
          </w:p>
          <w:p w:rsidR="00A84B54" w:rsidRDefault="00A84B54" w:rsidP="00A84B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84B54">
              <w:rPr>
                <w:rStyle w:val="CodeChar"/>
              </w:rPr>
              <w:t>Read</w:t>
            </w:r>
            <w:r>
              <w:t xml:space="preserve"> components may not be modified.</w:t>
            </w:r>
          </w:p>
          <w:p w:rsidR="00A84B54" w:rsidRDefault="00A84B54" w:rsidP="00A84B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84B54">
              <w:rPr>
                <w:rStyle w:val="CodeChar"/>
              </w:rPr>
              <w:t>Binary</w:t>
            </w:r>
            <w:r>
              <w:t xml:space="preserve"> components are non-source elements imported for building and testing.  They may not be modified.</w:t>
            </w:r>
          </w:p>
        </w:tc>
        <w:tc>
          <w:tcPr>
            <w:tcW w:w="2988" w:type="dxa"/>
          </w:tcPr>
          <w:p w:rsidR="00A84B54" w:rsidRDefault="00A84B54" w:rsidP="00A84B54">
            <w:pPr>
              <w:pStyle w:val="Code"/>
              <w:cnfStyle w:val="000000000000" w:firstRow="0" w:lastRow="0" w:firstColumn="0" w:lastColumn="0" w:oddVBand="0" w:evenVBand="0" w:oddHBand="0" w:evenHBand="0" w:firstRowFirstColumn="0" w:firstRowLastColumn="0" w:lastRowFirstColumn="0" w:lastRowLastColumn="0"/>
            </w:pPr>
            <w:r>
              <w:t>active</w:t>
            </w:r>
          </w:p>
        </w:tc>
      </w:tr>
      <w:tr w:rsidR="00A84B54" w:rsidTr="00EA7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A84B54" w:rsidRDefault="00A84B54" w:rsidP="00A84B54">
            <w:r>
              <w:t>Client location</w:t>
            </w:r>
          </w:p>
        </w:tc>
        <w:tc>
          <w:tcPr>
            <w:tcW w:w="4590" w:type="dxa"/>
          </w:tcPr>
          <w:p w:rsidR="00A84B54" w:rsidRDefault="00A84B54" w:rsidP="00A84B54">
            <w:pPr>
              <w:cnfStyle w:val="000000100000" w:firstRow="0" w:lastRow="0" w:firstColumn="0" w:lastColumn="0" w:oddVBand="0" w:evenVBand="0" w:oddHBand="1" w:evenHBand="0" w:firstRowFirstColumn="0" w:firstRowLastColumn="0" w:lastRowFirstColumn="0" w:lastRowLastColumn="0"/>
            </w:pPr>
            <w:r>
              <w:t>Where this component should exist under the workspace directory.</w:t>
            </w:r>
          </w:p>
        </w:tc>
        <w:tc>
          <w:tcPr>
            <w:tcW w:w="2988" w:type="dxa"/>
          </w:tcPr>
          <w:p w:rsidR="00A84B54" w:rsidRDefault="006D7BB3" w:rsidP="006D7BB3">
            <w:pPr>
              <w:pStyle w:val="Code"/>
              <w:cnfStyle w:val="000000100000" w:firstRow="0" w:lastRow="0" w:firstColumn="0" w:lastColumn="0" w:oddVBand="0" w:evenVBand="0" w:oddHBand="1" w:evenHBand="0" w:firstRowFirstColumn="0" w:firstRowLastColumn="0" w:lastRowFirstColumn="0" w:lastRowLastColumn="0"/>
            </w:pPr>
            <w:r>
              <w:t>a</w:t>
            </w:r>
            <w:r w:rsidR="00A84B54">
              <w:t>bc/…</w:t>
            </w:r>
          </w:p>
        </w:tc>
      </w:tr>
      <w:tr w:rsidR="00A84B54" w:rsidTr="00EA74D7">
        <w:tc>
          <w:tcPr>
            <w:cnfStyle w:val="001000000000" w:firstRow="0" w:lastRow="0" w:firstColumn="1" w:lastColumn="0" w:oddVBand="0" w:evenVBand="0" w:oddHBand="0" w:evenHBand="0" w:firstRowFirstColumn="0" w:firstRowLastColumn="0" w:lastRowFirstColumn="0" w:lastRowLastColumn="0"/>
            <w:tcW w:w="1998" w:type="dxa"/>
          </w:tcPr>
          <w:p w:rsidR="00A84B54" w:rsidRDefault="00A84B54" w:rsidP="00A84B54">
            <w:r>
              <w:t>View (optional)</w:t>
            </w:r>
          </w:p>
        </w:tc>
        <w:tc>
          <w:tcPr>
            <w:tcW w:w="4590" w:type="dxa"/>
          </w:tcPr>
          <w:p w:rsidR="00A84B54" w:rsidRDefault="002178A7" w:rsidP="00A84B54">
            <w:pPr>
              <w:cnfStyle w:val="000000000000" w:firstRow="0" w:lastRow="0" w:firstColumn="0" w:lastColumn="0" w:oddVBand="0" w:evenVBand="0" w:oddHBand="0" w:evenHBand="0" w:firstRowFirstColumn="0" w:firstRowLastColumn="0" w:lastRowFirstColumn="0" w:lastRowLastColumn="0"/>
            </w:pPr>
            <w:r>
              <w:t xml:space="preserve">A label that restricts the view of the component in the workspace.  </w:t>
            </w:r>
            <w:r w:rsidR="006D7BB3">
              <w:t xml:space="preserve">A label may contain a view and, for </w:t>
            </w:r>
            <w:r w:rsidR="006D7BB3" w:rsidRPr="006D7BB3">
              <w:rPr>
                <w:rStyle w:val="CodeChar"/>
              </w:rPr>
              <w:t>read</w:t>
            </w:r>
            <w:r w:rsidR="006D7BB3">
              <w:t xml:space="preserve"> or </w:t>
            </w:r>
            <w:r w:rsidR="006D7BB3" w:rsidRPr="006D7BB3">
              <w:rPr>
                <w:rStyle w:val="CodeChar"/>
              </w:rPr>
              <w:t>binary</w:t>
            </w:r>
            <w:r w:rsidR="006D7BB3">
              <w:t xml:space="preserve"> components, a revision specifier.</w:t>
            </w:r>
          </w:p>
        </w:tc>
        <w:tc>
          <w:tcPr>
            <w:tcW w:w="2988" w:type="dxa"/>
          </w:tcPr>
          <w:p w:rsidR="00A84B54" w:rsidRDefault="006D7BB3" w:rsidP="006B4B49">
            <w:pPr>
              <w:cnfStyle w:val="000000000000" w:firstRow="0" w:lastRow="0" w:firstColumn="0" w:lastColumn="0" w:oddVBand="0" w:evenVBand="0" w:oddHBand="0" w:evenHBand="0" w:firstRowFirstColumn="0" w:firstRowLastColumn="0" w:lastRowFirstColumn="0" w:lastRowLastColumn="0"/>
            </w:pPr>
            <w:r>
              <w:t>Comp.</w:t>
            </w:r>
            <w:r w:rsidR="006B4B49">
              <w:t>abc</w:t>
            </w:r>
            <w:r>
              <w:t>.l</w:t>
            </w:r>
          </w:p>
        </w:tc>
      </w:tr>
    </w:tbl>
    <w:p w:rsidR="00A84B54" w:rsidRDefault="0033659E" w:rsidP="0033659E">
      <w:pPr>
        <w:pStyle w:val="Heading2"/>
      </w:pPr>
      <w:r>
        <w:t>Data Model Representation</w:t>
      </w:r>
    </w:p>
    <w:p w:rsidR="0033659E" w:rsidRDefault="0033659E" w:rsidP="0033659E">
      <w:r>
        <w:t>A configuration is specified in an XML file.  The example below shows a simple configuration with four components.</w:t>
      </w:r>
    </w:p>
    <w:p w:rsidR="0033659E" w:rsidRPr="0033659E" w:rsidRDefault="0033659E" w:rsidP="0033659E">
      <w:pPr>
        <w:pStyle w:val="Code"/>
        <w:rPr>
          <w:color w:val="000000" w:themeColor="text1"/>
          <w:highlight w:val="cyan"/>
        </w:rPr>
      </w:pPr>
      <w:r w:rsidRPr="0033659E">
        <w:rPr>
          <w:color w:val="000000" w:themeColor="text1"/>
          <w:highlight w:val="cyan"/>
        </w:rPr>
        <w:t>&lt;configuration&gt;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&lt;depotPath&gt;//depot/comp/abc/...&lt;/depotPath&gt;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&lt;access&gt;active&lt;/access&gt;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&lt;clientLocation&gt;abc/...&lt;/clientLocation&gt;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&lt;depotPath&gt;//depot/comp/def/...&lt;/depotPath&gt;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&lt;access&gt;write&lt;/access&gt;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&lt;clientLocation&gt;def/...&lt;/clientLocation&gt;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&lt;depotPath&gt;//depot/comp/ghi/...&lt;/depotPath&gt;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&lt;view&gt;comp.ghi.l&lt;/view&gt;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&lt;access&gt;read&lt;/access&gt;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&lt;clientLocation&gt;ghi/...&lt;/clientLocation&gt;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lastRenderedPageBreak/>
        <w:t xml:space="preserve">    &lt;component&gt;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&lt;depotPath&gt;//depot/lib/xyz/...&lt;/depotPath&gt;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&lt;access&gt;binary&lt;/access&gt;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&lt;clientLocation&gt;lib/xyz/...&lt;/clientLocation&gt;</w:t>
      </w:r>
    </w:p>
    <w:p w:rsidR="0033659E" w:rsidRPr="0033659E" w:rsidRDefault="0033659E" w:rsidP="0033659E">
      <w:pPr>
        <w:pStyle w:val="Code"/>
        <w:rPr>
          <w:color w:val="000000" w:themeColor="text1"/>
          <w:highlight w:val="cyan"/>
        </w:rPr>
      </w:pPr>
      <w:r w:rsidRPr="0033659E">
        <w:rPr>
          <w:color w:val="000000" w:themeColor="text1"/>
          <w:highlight w:val="cyan"/>
        </w:rPr>
        <w:t xml:space="preserve">    &lt;/component&gt;</w:t>
      </w:r>
    </w:p>
    <w:p w:rsidR="0033659E" w:rsidRPr="0033659E" w:rsidRDefault="0033659E" w:rsidP="0033659E">
      <w:pPr>
        <w:pStyle w:val="Code"/>
        <w:rPr>
          <w:color w:val="00B050"/>
        </w:rPr>
      </w:pPr>
      <w:r w:rsidRPr="0033659E">
        <w:rPr>
          <w:color w:val="000000" w:themeColor="text1"/>
          <w:highlight w:val="cyan"/>
        </w:rPr>
        <w:t>&lt;/configuration&gt;</w:t>
      </w:r>
    </w:p>
    <w:p w:rsidR="0033659E" w:rsidRDefault="0033659E" w:rsidP="0033659E">
      <w:pPr>
        <w:pStyle w:val="Heading2"/>
      </w:pPr>
      <w:r>
        <w:t>Data Model Storage</w:t>
      </w:r>
    </w:p>
    <w:p w:rsidR="0033659E" w:rsidRDefault="00FD154F" w:rsidP="0033659E">
      <w:r>
        <w:t xml:space="preserve">A depot called </w:t>
      </w:r>
      <w:r w:rsidRPr="00FD154F">
        <w:rPr>
          <w:rStyle w:val="CodeChar"/>
        </w:rPr>
        <w:t>cbd</w:t>
      </w:r>
      <w:r>
        <w:t xml:space="preserve"> is used to store all configuration data and tools for this package.  </w:t>
      </w:r>
      <w:r w:rsidR="009045FD">
        <w:t xml:space="preserve">Configuration files are stored </w:t>
      </w:r>
      <w:r>
        <w:t xml:space="preserve">under </w:t>
      </w:r>
      <w:r w:rsidRPr="00FD154F">
        <w:rPr>
          <w:rStyle w:val="CodeChar"/>
        </w:rPr>
        <w:t>//cbd/configurations</w:t>
      </w:r>
      <w:r>
        <w:t>.</w:t>
      </w:r>
    </w:p>
    <w:p w:rsidR="00CD7E3C" w:rsidRDefault="00CD7E3C" w:rsidP="00CD7E3C">
      <w:pPr>
        <w:pStyle w:val="Heading2"/>
      </w:pPr>
      <w:r>
        <w:t>Creating, Updating, and Deleting Configurations</w:t>
      </w:r>
    </w:p>
    <w:p w:rsidR="00CD7E3C" w:rsidRDefault="00917C96" w:rsidP="00CD7E3C">
      <w:r>
        <w:t>The configurations can be modified using normal Perforce client software to add, edit, and delete the files.</w:t>
      </w:r>
      <w:r w:rsidR="00C369F2">
        <w:t xml:space="preserve">  Alternatively, a P4V applet can be used to view, edit, and delete configurations.</w:t>
      </w:r>
    </w:p>
    <w:p w:rsidR="007B3B01" w:rsidRDefault="00B007E8" w:rsidP="007B3B01">
      <w:pPr>
        <w:keepNext/>
      </w:pPr>
      <w:r>
        <w:rPr>
          <w:noProof/>
        </w:rPr>
        <w:drawing>
          <wp:inline distT="0" distB="0" distL="0" distR="0" wp14:anchorId="297871FE" wp14:editId="0CB9D8FF">
            <wp:extent cx="5943600" cy="2835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835910"/>
                    </a:xfrm>
                    <a:prstGeom prst="rect">
                      <a:avLst/>
                    </a:prstGeom>
                  </pic:spPr>
                </pic:pic>
              </a:graphicData>
            </a:graphic>
          </wp:inline>
        </w:drawing>
      </w:r>
    </w:p>
    <w:p w:rsidR="00B007E8" w:rsidRDefault="007B3B01" w:rsidP="007B3B01">
      <w:pPr>
        <w:pStyle w:val="Caption"/>
      </w:pPr>
      <w:r>
        <w:t xml:space="preserve">Figure </w:t>
      </w:r>
      <w:r w:rsidR="003763F6">
        <w:fldChar w:fldCharType="begin"/>
      </w:r>
      <w:r w:rsidR="003763F6">
        <w:instrText xml:space="preserve"> SEQ Figure \* ARABIC </w:instrText>
      </w:r>
      <w:r w:rsidR="003763F6">
        <w:fldChar w:fldCharType="separate"/>
      </w:r>
      <w:r w:rsidR="00C74D3F">
        <w:rPr>
          <w:noProof/>
        </w:rPr>
        <w:t>1</w:t>
      </w:r>
      <w:r w:rsidR="003763F6">
        <w:rPr>
          <w:noProof/>
        </w:rPr>
        <w:fldChar w:fldCharType="end"/>
      </w:r>
      <w:r>
        <w:t>: Configuration Applet</w:t>
      </w:r>
    </w:p>
    <w:p w:rsidR="00C74D3F" w:rsidRDefault="00C74D3F" w:rsidP="00C74D3F">
      <w:r>
        <w:t>You can also view the producer-consumer relationships (i.e. which configurations use certain components).</w:t>
      </w:r>
    </w:p>
    <w:p w:rsidR="00C74D3F" w:rsidRDefault="00C74D3F" w:rsidP="00C74D3F">
      <w:pPr>
        <w:keepNext/>
      </w:pPr>
      <w:r w:rsidRPr="00C74D3F">
        <w:drawing>
          <wp:inline distT="0" distB="0" distL="0" distR="0" wp14:anchorId="0F53B987" wp14:editId="1A013415">
            <wp:extent cx="5943600" cy="19126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943600" cy="1912620"/>
                    </a:xfrm>
                    <a:prstGeom prst="rect">
                      <a:avLst/>
                    </a:prstGeom>
                  </pic:spPr>
                </pic:pic>
              </a:graphicData>
            </a:graphic>
          </wp:inline>
        </w:drawing>
      </w:r>
    </w:p>
    <w:p w:rsidR="00C74D3F" w:rsidRPr="00C74D3F" w:rsidRDefault="00C74D3F" w:rsidP="00C74D3F">
      <w:pPr>
        <w:pStyle w:val="Caption"/>
      </w:pPr>
      <w:r>
        <w:t xml:space="preserve">Figure </w:t>
      </w:r>
      <w:fldSimple w:instr=" SEQ Figure \* ARABIC ">
        <w:r>
          <w:rPr>
            <w:noProof/>
          </w:rPr>
          <w:t>2</w:t>
        </w:r>
      </w:fldSimple>
      <w:r>
        <w:t>: Consumer Dependency List</w:t>
      </w:r>
      <w:bookmarkStart w:id="0" w:name="_GoBack"/>
      <w:bookmarkEnd w:id="0"/>
    </w:p>
    <w:p w:rsidR="00FD154F" w:rsidRDefault="00BC0173" w:rsidP="00CD7E3C">
      <w:r>
        <w:lastRenderedPageBreak/>
        <w:t>To install this applet:</w:t>
      </w:r>
    </w:p>
    <w:p w:rsidR="00BC0173" w:rsidRDefault="00BC0173" w:rsidP="00BC0173">
      <w:pPr>
        <w:pStyle w:val="ListParagraph"/>
        <w:numPr>
          <w:ilvl w:val="0"/>
          <w:numId w:val="3"/>
        </w:numPr>
      </w:pPr>
      <w:r>
        <w:t xml:space="preserve">Make a protections table entry (see </w:t>
      </w:r>
      <w:r w:rsidRPr="00BC0173">
        <w:rPr>
          <w:rStyle w:val="CodeChar"/>
        </w:rPr>
        <w:t>//cbd/applets/protect.txt</w:t>
      </w:r>
      <w:r>
        <w:t xml:space="preserve"> for an example).</w:t>
      </w:r>
    </w:p>
    <w:p w:rsidR="00BC0173" w:rsidRDefault="00E600F6" w:rsidP="00BC0173">
      <w:pPr>
        <w:pStyle w:val="ListParagraph"/>
        <w:numPr>
          <w:ilvl w:val="0"/>
          <w:numId w:val="3"/>
        </w:numPr>
      </w:pPr>
      <w:r>
        <w:t>Enable applets in P4V for the broker you are using.</w:t>
      </w:r>
    </w:p>
    <w:p w:rsidR="00275693" w:rsidRDefault="00275693" w:rsidP="00275693">
      <w:pPr>
        <w:pStyle w:val="Heading1"/>
      </w:pPr>
      <w:r>
        <w:t>Usage</w:t>
      </w:r>
    </w:p>
    <w:p w:rsidR="00275693" w:rsidRDefault="00275693" w:rsidP="00275693">
      <w:r>
        <w:t>This tool kit supports several operations.</w:t>
      </w:r>
    </w:p>
    <w:p w:rsidR="00275693" w:rsidRDefault="00275693" w:rsidP="00275693">
      <w:pPr>
        <w:pStyle w:val="Heading2"/>
      </w:pPr>
      <w:r>
        <w:t>Creating a workspace tied to a configuration</w:t>
      </w:r>
    </w:p>
    <w:p w:rsidR="00275693" w:rsidRDefault="00275693" w:rsidP="00275693">
      <w:r>
        <w:t xml:space="preserve">Use the special broker command </w:t>
      </w:r>
      <w:r w:rsidRPr="009A65AD">
        <w:rPr>
          <w:rStyle w:val="CodeChar"/>
        </w:rPr>
        <w:t>wscreate</w:t>
      </w:r>
      <w:r>
        <w:t>.</w:t>
      </w:r>
    </w:p>
    <w:p w:rsidR="00275693" w:rsidRDefault="00275693" w:rsidP="00275693">
      <w:pPr>
        <w:pStyle w:val="Code"/>
      </w:pPr>
      <w:r>
        <w:t>p4 wscreate my-config my-ws</w:t>
      </w:r>
    </w:p>
    <w:p w:rsidR="00275693" w:rsidRDefault="00275693" w:rsidP="00275693">
      <w:r>
        <w:t xml:space="preserve">This creates a workspace </w:t>
      </w:r>
      <w:r w:rsidRPr="00275693">
        <w:rPr>
          <w:rStyle w:val="CodeChar"/>
        </w:rPr>
        <w:t>my-ws</w:t>
      </w:r>
      <w:r>
        <w:t xml:space="preserve"> whose view is determined by the configuration </w:t>
      </w:r>
      <w:r w:rsidRPr="00275693">
        <w:rPr>
          <w:rStyle w:val="CodeChar"/>
        </w:rPr>
        <w:t>my-config</w:t>
      </w:r>
      <w:r>
        <w:t xml:space="preserve">.  </w:t>
      </w:r>
    </w:p>
    <w:p w:rsidR="00275693" w:rsidRDefault="00275693" w:rsidP="00275693">
      <w:pPr>
        <w:pStyle w:val="Heading2"/>
      </w:pPr>
      <w:r>
        <w:t>Switching a workspace to a new configuration</w:t>
      </w:r>
    </w:p>
    <w:p w:rsidR="00275693" w:rsidRDefault="00275693" w:rsidP="00275693">
      <w:r>
        <w:t xml:space="preserve">Use the special broker command </w:t>
      </w:r>
      <w:r w:rsidRPr="009A65AD">
        <w:rPr>
          <w:rStyle w:val="CodeChar"/>
        </w:rPr>
        <w:t>wsswitch</w:t>
      </w:r>
      <w:r>
        <w:t>.</w:t>
      </w:r>
    </w:p>
    <w:p w:rsidR="00275693" w:rsidRDefault="00275693" w:rsidP="00275693">
      <w:pPr>
        <w:pStyle w:val="Code"/>
      </w:pPr>
      <w:r>
        <w:t>p4 wsswitch other-config my-ws</w:t>
      </w:r>
    </w:p>
    <w:p w:rsidR="00275693" w:rsidRDefault="00275693" w:rsidP="00275693">
      <w:r>
        <w:t xml:space="preserve">This updates the workspace </w:t>
      </w:r>
      <w:r w:rsidRPr="00275693">
        <w:rPr>
          <w:rStyle w:val="CodeChar"/>
        </w:rPr>
        <w:t>my-ws</w:t>
      </w:r>
      <w:r>
        <w:t xml:space="preserve"> to the configuration </w:t>
      </w:r>
      <w:r>
        <w:rPr>
          <w:rStyle w:val="CodeChar"/>
        </w:rPr>
        <w:t>other</w:t>
      </w:r>
      <w:r w:rsidRPr="00275693">
        <w:rPr>
          <w:rStyle w:val="CodeChar"/>
        </w:rPr>
        <w:t>-config</w:t>
      </w:r>
      <w:r>
        <w:t xml:space="preserve">.  The workspace view is adjusted accordingly.  </w:t>
      </w:r>
    </w:p>
    <w:p w:rsidR="009A65AD" w:rsidRDefault="009A65AD" w:rsidP="009A65AD">
      <w:pPr>
        <w:pStyle w:val="Heading2"/>
      </w:pPr>
      <w:r>
        <w:t>Populating a workspace</w:t>
      </w:r>
    </w:p>
    <w:p w:rsidR="009A65AD" w:rsidRDefault="009A65AD" w:rsidP="009A65AD">
      <w:r>
        <w:t xml:space="preserve">Use the normal </w:t>
      </w:r>
      <w:r w:rsidRPr="009A65AD">
        <w:rPr>
          <w:rStyle w:val="CodeChar"/>
        </w:rPr>
        <w:t>p4 sync</w:t>
      </w:r>
      <w:r>
        <w:t xml:space="preserve"> or </w:t>
      </w:r>
      <w:r w:rsidRPr="009A65AD">
        <w:rPr>
          <w:rStyle w:val="CodeChar"/>
        </w:rPr>
        <w:t>p4 update</w:t>
      </w:r>
      <w:r>
        <w:t xml:space="preserve"> commands with no arguments to populate the workspace correctly.  If you run these commands with file arguments, the broker assumes that you are explicitly working outside the bounds of the configuration view.  This choice can be changed with a minor adjustment to the scripts.</w:t>
      </w:r>
    </w:p>
    <w:p w:rsidR="00B148F1" w:rsidRDefault="00B148F1" w:rsidP="00B148F1">
      <w:pPr>
        <w:pStyle w:val="Heading2"/>
      </w:pPr>
      <w:r>
        <w:t>Access control</w:t>
      </w:r>
    </w:p>
    <w:p w:rsidR="00B148F1" w:rsidRDefault="00B148F1" w:rsidP="00B148F1">
      <w:r>
        <w:t xml:space="preserve">The broker intercepts commands like </w:t>
      </w:r>
      <w:r w:rsidRPr="00B148F1">
        <w:rPr>
          <w:rStyle w:val="CodeChar"/>
        </w:rPr>
        <w:t>p4 edit</w:t>
      </w:r>
      <w:r>
        <w:t xml:space="preserve"> </w:t>
      </w:r>
      <w:r w:rsidR="004D21C9">
        <w:t xml:space="preserve">and </w:t>
      </w:r>
      <w:r w:rsidR="004D21C9">
        <w:rPr>
          <w:rStyle w:val="CodeChar"/>
        </w:rPr>
        <w:t>p4 submit</w:t>
      </w:r>
      <w:r w:rsidR="004D21C9">
        <w:t xml:space="preserve"> </w:t>
      </w:r>
      <w:r>
        <w:t xml:space="preserve">to make sure that you are not checking out </w:t>
      </w:r>
      <w:r w:rsidR="006317EE">
        <w:t xml:space="preserve">or submitting </w:t>
      </w:r>
      <w:r>
        <w:t xml:space="preserve">files with </w:t>
      </w:r>
      <w:r w:rsidRPr="00B148F1">
        <w:rPr>
          <w:rStyle w:val="CodeChar"/>
        </w:rPr>
        <w:t>read</w:t>
      </w:r>
      <w:r>
        <w:t xml:space="preserve"> or </w:t>
      </w:r>
      <w:r w:rsidRPr="00B148F1">
        <w:rPr>
          <w:rStyle w:val="CodeChar"/>
        </w:rPr>
        <w:t>binary</w:t>
      </w:r>
      <w:r>
        <w:t xml:space="preserve"> access.  Each argument to these commands is verified.  You can adjust the broker scripts to suit your own workflow preferences and provide more or less guidance.</w:t>
      </w:r>
    </w:p>
    <w:p w:rsidR="00EB659F" w:rsidRDefault="00EB659F" w:rsidP="00EB659F">
      <w:pPr>
        <w:pStyle w:val="Heading2"/>
      </w:pPr>
      <w:r>
        <w:t>Updating workspaces when a configuration changes</w:t>
      </w:r>
    </w:p>
    <w:p w:rsidR="00EB659F" w:rsidRPr="00EB659F" w:rsidRDefault="00383FF3" w:rsidP="00EB659F">
      <w:r>
        <w:t xml:space="preserve">If you modify a configuration, each workspace tied to that configuration is updated on the next </w:t>
      </w:r>
      <w:r w:rsidRPr="00383FF3">
        <w:rPr>
          <w:rStyle w:val="CodeChar"/>
        </w:rPr>
        <w:t>sync</w:t>
      </w:r>
      <w:r>
        <w:t xml:space="preserve"> or </w:t>
      </w:r>
      <w:r w:rsidRPr="00383FF3">
        <w:rPr>
          <w:rStyle w:val="CodeChar"/>
        </w:rPr>
        <w:t>update</w:t>
      </w:r>
      <w:r>
        <w:t xml:space="preserve"> command.  For example, if you use an updated release of a component </w:t>
      </w:r>
      <w:r w:rsidRPr="00383FF3">
        <w:rPr>
          <w:rStyle w:val="CodeChar"/>
        </w:rPr>
        <w:t>(//depot/comp/abc/r2.0</w:t>
      </w:r>
      <w:r>
        <w:t xml:space="preserve"> instead of </w:t>
      </w:r>
      <w:r w:rsidRPr="00383FF3">
        <w:rPr>
          <w:rStyle w:val="CodeChar"/>
        </w:rPr>
        <w:t>//depot/comp/abc/r1.5</w:t>
      </w:r>
      <w:r>
        <w:t xml:space="preserve">), a workspace using this configuration will have its view automatically updated the next time a </w:t>
      </w:r>
      <w:r w:rsidRPr="00383FF3">
        <w:rPr>
          <w:rStyle w:val="CodeChar"/>
        </w:rPr>
        <w:t>sync</w:t>
      </w:r>
      <w:r>
        <w:t xml:space="preserve"> or </w:t>
      </w:r>
      <w:r w:rsidRPr="00383FF3">
        <w:rPr>
          <w:rStyle w:val="CodeChar"/>
        </w:rPr>
        <w:t>update</w:t>
      </w:r>
      <w:r>
        <w:t xml:space="preserve"> command is run.</w:t>
      </w:r>
    </w:p>
    <w:p w:rsidR="00275693" w:rsidRDefault="0048548E" w:rsidP="0048548E">
      <w:pPr>
        <w:pStyle w:val="Heading1"/>
      </w:pPr>
      <w:r>
        <w:t>The Nuts and Bolts</w:t>
      </w:r>
    </w:p>
    <w:p w:rsidR="00D3066B" w:rsidRDefault="0048548E" w:rsidP="00D3066B">
      <w:pPr>
        <w:pStyle w:val="ListParagraph"/>
        <w:numPr>
          <w:ilvl w:val="0"/>
          <w:numId w:val="5"/>
        </w:numPr>
      </w:pPr>
      <w:r>
        <w:t xml:space="preserve">The scripts use the </w:t>
      </w:r>
      <w:r w:rsidRPr="0048548E">
        <w:rPr>
          <w:rStyle w:val="CodeChar"/>
        </w:rPr>
        <w:t>spec</w:t>
      </w:r>
      <w:r>
        <w:t xml:space="preserve"> depot to record the links between workspaces and configurations using attributes.</w:t>
      </w:r>
    </w:p>
    <w:p w:rsidR="006F71E7" w:rsidRDefault="006F71E7" w:rsidP="00D3066B">
      <w:pPr>
        <w:pStyle w:val="ListParagraph"/>
        <w:numPr>
          <w:ilvl w:val="0"/>
          <w:numId w:val="5"/>
        </w:numPr>
      </w:pPr>
      <w:r>
        <w:t xml:space="preserve">The scripts use python logging.  You can adjust the log configuration in the file </w:t>
      </w:r>
      <w:r w:rsidRPr="006F71E7">
        <w:rPr>
          <w:rStyle w:val="CodeChar"/>
        </w:rPr>
        <w:t>//cbd/log/log.cfg</w:t>
      </w:r>
      <w:r>
        <w:t>.</w:t>
      </w:r>
    </w:p>
    <w:p w:rsidR="00304056" w:rsidRDefault="00304056" w:rsidP="00304056">
      <w:pPr>
        <w:pStyle w:val="Heading1"/>
      </w:pPr>
      <w:r>
        <w:t>Known Limitations</w:t>
      </w:r>
    </w:p>
    <w:p w:rsidR="00304056" w:rsidRDefault="00304056" w:rsidP="00304056">
      <w:pPr>
        <w:pStyle w:val="ListParagraph"/>
        <w:numPr>
          <w:ilvl w:val="0"/>
          <w:numId w:val="6"/>
        </w:numPr>
      </w:pPr>
      <w:r>
        <w:t xml:space="preserve">The </w:t>
      </w:r>
      <w:r w:rsidRPr="00304056">
        <w:rPr>
          <w:rStyle w:val="CodeChar"/>
        </w:rPr>
        <w:t>p4 unshelve</w:t>
      </w:r>
      <w:r>
        <w:t xml:space="preserve"> command is filtered, but optional file arguments are not considered.</w:t>
      </w:r>
    </w:p>
    <w:p w:rsidR="00601C02" w:rsidRDefault="00601C02" w:rsidP="00304056">
      <w:pPr>
        <w:pStyle w:val="ListParagraph"/>
        <w:numPr>
          <w:ilvl w:val="0"/>
          <w:numId w:val="6"/>
        </w:numPr>
      </w:pPr>
      <w:r>
        <w:lastRenderedPageBreak/>
        <w:t xml:space="preserve">The </w:t>
      </w:r>
      <w:r w:rsidRPr="00601C02">
        <w:rPr>
          <w:rStyle w:val="CodeChar"/>
        </w:rPr>
        <w:t>reconcile</w:t>
      </w:r>
      <w:r>
        <w:t xml:space="preserve"> and </w:t>
      </w:r>
      <w:r w:rsidRPr="00601C02">
        <w:rPr>
          <w:rStyle w:val="CodeChar"/>
        </w:rPr>
        <w:t>status</w:t>
      </w:r>
      <w:r>
        <w:t xml:space="preserve"> command filtering may not correctly limit components that are scoped by a label.</w:t>
      </w:r>
    </w:p>
    <w:p w:rsidR="008B1B87" w:rsidRDefault="008B1B87" w:rsidP="00304056">
      <w:pPr>
        <w:pStyle w:val="ListParagraph"/>
        <w:numPr>
          <w:ilvl w:val="0"/>
          <w:numId w:val="6"/>
        </w:numPr>
      </w:pPr>
      <w:r>
        <w:t xml:space="preserve">This tool set cannot be used with streams.  </w:t>
      </w:r>
    </w:p>
    <w:p w:rsidR="00ED3E55" w:rsidRDefault="00ED3E55" w:rsidP="00304056">
      <w:pPr>
        <w:pStyle w:val="ListParagraph"/>
        <w:numPr>
          <w:ilvl w:val="0"/>
          <w:numId w:val="6"/>
        </w:numPr>
      </w:pPr>
      <w:r>
        <w:t>Automatic labels cannot be used to specify a configuration.</w:t>
      </w:r>
    </w:p>
    <w:p w:rsidR="00ED3E55" w:rsidRDefault="00ED3E55" w:rsidP="00304056">
      <w:pPr>
        <w:pStyle w:val="ListParagraph"/>
        <w:numPr>
          <w:ilvl w:val="0"/>
          <w:numId w:val="6"/>
        </w:numPr>
      </w:pPr>
      <w:r>
        <w:t xml:space="preserve">Static labels can only be usefully applied to components with </w:t>
      </w:r>
      <w:r w:rsidRPr="00ED3E55">
        <w:rPr>
          <w:rStyle w:val="CodeChar"/>
        </w:rPr>
        <w:t>read</w:t>
      </w:r>
      <w:r>
        <w:t xml:space="preserve"> or </w:t>
      </w:r>
      <w:r w:rsidRPr="00ED3E55">
        <w:rPr>
          <w:rStyle w:val="CodeChar"/>
        </w:rPr>
        <w:t>binary</w:t>
      </w:r>
      <w:r>
        <w:t xml:space="preserve"> access.</w:t>
      </w:r>
    </w:p>
    <w:p w:rsidR="00361E90" w:rsidRDefault="00361E90" w:rsidP="00304056">
      <w:pPr>
        <w:pStyle w:val="ListParagraph"/>
        <w:numPr>
          <w:ilvl w:val="0"/>
          <w:numId w:val="6"/>
        </w:numPr>
      </w:pPr>
      <w:r>
        <w:t>Components only support a single depot path.  Multiple depot paths would provide more flexibility.</w:t>
      </w:r>
    </w:p>
    <w:p w:rsidR="00C76591" w:rsidRPr="00304056" w:rsidRDefault="00C76591" w:rsidP="00304056">
      <w:pPr>
        <w:pStyle w:val="ListParagraph"/>
        <w:numPr>
          <w:ilvl w:val="0"/>
          <w:numId w:val="6"/>
        </w:numPr>
      </w:pPr>
      <w:r>
        <w:t>The configuration applet does only basic error checking and could provide additional assistance like label look-up.</w:t>
      </w:r>
    </w:p>
    <w:sectPr w:rsidR="00C76591" w:rsidRPr="003040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F6" w:rsidRDefault="003763F6" w:rsidP="002531ED">
      <w:pPr>
        <w:spacing w:after="0"/>
      </w:pPr>
      <w:r>
        <w:separator/>
      </w:r>
    </w:p>
  </w:endnote>
  <w:endnote w:type="continuationSeparator" w:id="0">
    <w:p w:rsidR="003763F6" w:rsidRDefault="003763F6" w:rsidP="00253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2531ED">
      <w:tc>
        <w:tcPr>
          <w:tcW w:w="4500" w:type="pct"/>
          <w:tcBorders>
            <w:top w:val="single" w:sz="4" w:space="0" w:color="000000" w:themeColor="text1"/>
          </w:tcBorders>
        </w:tcPr>
        <w:p w:rsidR="002531ED" w:rsidRDefault="002531ED">
          <w:pPr>
            <w:pStyle w:val="Footer"/>
            <w:jc w:val="right"/>
          </w:pPr>
          <w:r>
            <w:t xml:space="preserve">Copyright 2012 </w:t>
          </w:r>
          <w:sdt>
            <w:sdtPr>
              <w:alias w:val="Company"/>
              <w:id w:val="75971759"/>
              <w:placeholder>
                <w:docPart w:val="1A871462E4E246238387F933E3B96434"/>
              </w:placeholder>
              <w:dataBinding w:prefixMappings="xmlns:ns0='http://schemas.openxmlformats.org/officeDocument/2006/extended-properties'" w:xpath="/ns0:Properties[1]/ns0:Company[1]" w:storeItemID="{6668398D-A668-4E3E-A5EB-62B293D839F1}"/>
              <w:text/>
            </w:sdtPr>
            <w:sdtEndPr/>
            <w:sdtContent>
              <w:r>
                <w:t>Perforce Software, Inc.</w:t>
              </w:r>
            </w:sdtContent>
          </w:sdt>
          <w:r>
            <w:t xml:space="preserve"> | </w:t>
          </w:r>
          <w:r w:rsidR="003763F6">
            <w:fldChar w:fldCharType="begin"/>
          </w:r>
          <w:r w:rsidR="003763F6">
            <w:instrText xml:space="preserve"> STYLEREF  "1"  </w:instrText>
          </w:r>
          <w:r w:rsidR="003763F6">
            <w:fldChar w:fldCharType="separate"/>
          </w:r>
          <w:r w:rsidR="00C74D3F">
            <w:rPr>
              <w:noProof/>
            </w:rPr>
            <w:t>The CBD Data Model</w:t>
          </w:r>
          <w:r w:rsidR="003763F6">
            <w:rPr>
              <w:noProof/>
            </w:rPr>
            <w:fldChar w:fldCharType="end"/>
          </w:r>
        </w:p>
      </w:tc>
      <w:tc>
        <w:tcPr>
          <w:tcW w:w="500" w:type="pct"/>
          <w:tcBorders>
            <w:top w:val="single" w:sz="4" w:space="0" w:color="C0504D" w:themeColor="accent2"/>
          </w:tcBorders>
          <w:shd w:val="clear" w:color="auto" w:fill="943634" w:themeFill="accent2" w:themeFillShade="BF"/>
        </w:tcPr>
        <w:p w:rsidR="002531ED" w:rsidRDefault="002531ED">
          <w:pPr>
            <w:pStyle w:val="Header"/>
            <w:rPr>
              <w:color w:val="FFFFFF" w:themeColor="background1"/>
            </w:rPr>
          </w:pPr>
          <w:r>
            <w:fldChar w:fldCharType="begin"/>
          </w:r>
          <w:r>
            <w:instrText xml:space="preserve"> PAGE   \* MERGEFORMAT </w:instrText>
          </w:r>
          <w:r>
            <w:fldChar w:fldCharType="separate"/>
          </w:r>
          <w:r w:rsidR="00C74D3F" w:rsidRPr="00C74D3F">
            <w:rPr>
              <w:noProof/>
              <w:color w:val="FFFFFF" w:themeColor="background1"/>
            </w:rPr>
            <w:t>3</w:t>
          </w:r>
          <w:r>
            <w:rPr>
              <w:noProof/>
              <w:color w:val="FFFFFF" w:themeColor="background1"/>
            </w:rPr>
            <w:fldChar w:fldCharType="end"/>
          </w:r>
        </w:p>
      </w:tc>
    </w:tr>
  </w:tbl>
  <w:p w:rsidR="002531ED" w:rsidRDefault="00253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F6" w:rsidRDefault="003763F6" w:rsidP="002531ED">
      <w:pPr>
        <w:spacing w:after="0"/>
      </w:pPr>
      <w:r>
        <w:separator/>
      </w:r>
    </w:p>
  </w:footnote>
  <w:footnote w:type="continuationSeparator" w:id="0">
    <w:p w:rsidR="003763F6" w:rsidRDefault="003763F6" w:rsidP="002531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2531ED">
      <w:sdt>
        <w:sdtPr>
          <w:rPr>
            <w:color w:val="FFFFFF" w:themeColor="background1"/>
          </w:rPr>
          <w:alias w:val="Date"/>
          <w:id w:val="77625188"/>
          <w:placeholder>
            <w:docPart w:val="8AA9BAC1C8E54D8096FC87F66A798BB7"/>
          </w:placeholder>
          <w:dataBinding w:prefixMappings="xmlns:ns0='http://schemas.microsoft.com/office/2006/coverPageProps'" w:xpath="/ns0:CoverPageProperties[1]/ns0:PublishDate[1]" w:storeItemID="{55AF091B-3C7A-41E3-B477-F2FDAA23CFDA}"/>
          <w:date w:fullDate="2012-06-15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2531ED" w:rsidRDefault="002531ED">
              <w:pPr>
                <w:pStyle w:val="Header"/>
                <w:jc w:val="right"/>
                <w:rPr>
                  <w:color w:val="FFFFFF" w:themeColor="background1"/>
                </w:rPr>
              </w:pPr>
              <w:r>
                <w:rPr>
                  <w:color w:val="FFFFFF" w:themeColor="background1"/>
                </w:rPr>
                <w:t>June 15, 2012</w:t>
              </w:r>
            </w:p>
          </w:tc>
        </w:sdtContent>
      </w:sdt>
      <w:tc>
        <w:tcPr>
          <w:tcW w:w="4000" w:type="pct"/>
          <w:tcBorders>
            <w:bottom w:val="single" w:sz="4" w:space="0" w:color="auto"/>
          </w:tcBorders>
          <w:vAlign w:val="bottom"/>
        </w:tcPr>
        <w:p w:rsidR="002531ED" w:rsidRDefault="002531ED" w:rsidP="002531ED">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AF6FE03E870446BEAF8DEB27252BDE27"/>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Component based development in perforce</w:t>
              </w:r>
            </w:sdtContent>
          </w:sdt>
          <w:r>
            <w:rPr>
              <w:b/>
              <w:bCs/>
              <w:color w:val="76923C" w:themeColor="accent3" w:themeShade="BF"/>
              <w:sz w:val="24"/>
            </w:rPr>
            <w:t>]</w:t>
          </w:r>
        </w:p>
      </w:tc>
    </w:tr>
  </w:tbl>
  <w:p w:rsidR="002531ED" w:rsidRDefault="00253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433BB"/>
    <w:multiLevelType w:val="hybridMultilevel"/>
    <w:tmpl w:val="81D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63636"/>
    <w:multiLevelType w:val="hybridMultilevel"/>
    <w:tmpl w:val="CF32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52992"/>
    <w:multiLevelType w:val="hybridMultilevel"/>
    <w:tmpl w:val="E79C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B0A3A"/>
    <w:multiLevelType w:val="hybridMultilevel"/>
    <w:tmpl w:val="196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424D6"/>
    <w:multiLevelType w:val="hybridMultilevel"/>
    <w:tmpl w:val="B916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745C9"/>
    <w:multiLevelType w:val="hybridMultilevel"/>
    <w:tmpl w:val="ED18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04"/>
    <w:rsid w:val="000959DF"/>
    <w:rsid w:val="000D1DCE"/>
    <w:rsid w:val="000F1DA8"/>
    <w:rsid w:val="000F4550"/>
    <w:rsid w:val="0012266B"/>
    <w:rsid w:val="002178A7"/>
    <w:rsid w:val="002531ED"/>
    <w:rsid w:val="00275693"/>
    <w:rsid w:val="00304056"/>
    <w:rsid w:val="0033659E"/>
    <w:rsid w:val="00361E90"/>
    <w:rsid w:val="003763F6"/>
    <w:rsid w:val="00383FF3"/>
    <w:rsid w:val="004516B2"/>
    <w:rsid w:val="0048548E"/>
    <w:rsid w:val="004D21C9"/>
    <w:rsid w:val="00505FA0"/>
    <w:rsid w:val="0051467D"/>
    <w:rsid w:val="005B4404"/>
    <w:rsid w:val="00601C02"/>
    <w:rsid w:val="006317EE"/>
    <w:rsid w:val="006B4B49"/>
    <w:rsid w:val="006D7BB3"/>
    <w:rsid w:val="006F71E7"/>
    <w:rsid w:val="007B3B01"/>
    <w:rsid w:val="00812DB1"/>
    <w:rsid w:val="008B1B87"/>
    <w:rsid w:val="008D4236"/>
    <w:rsid w:val="008F4710"/>
    <w:rsid w:val="009045FD"/>
    <w:rsid w:val="00917C96"/>
    <w:rsid w:val="009774A3"/>
    <w:rsid w:val="009A65AD"/>
    <w:rsid w:val="00A84B54"/>
    <w:rsid w:val="00AF2091"/>
    <w:rsid w:val="00B007E8"/>
    <w:rsid w:val="00B12963"/>
    <w:rsid w:val="00B148F1"/>
    <w:rsid w:val="00BC0173"/>
    <w:rsid w:val="00BE606C"/>
    <w:rsid w:val="00C369F2"/>
    <w:rsid w:val="00C74D3F"/>
    <w:rsid w:val="00C76591"/>
    <w:rsid w:val="00CD7E3C"/>
    <w:rsid w:val="00D3066B"/>
    <w:rsid w:val="00D62EEB"/>
    <w:rsid w:val="00DD53D2"/>
    <w:rsid w:val="00E600F6"/>
    <w:rsid w:val="00EA74D7"/>
    <w:rsid w:val="00EB659F"/>
    <w:rsid w:val="00ED3E55"/>
    <w:rsid w:val="00F17E58"/>
    <w:rsid w:val="00FD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87B62-27DF-4765-9399-84A298E6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5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5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44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44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4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440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531ED"/>
    <w:pPr>
      <w:tabs>
        <w:tab w:val="center" w:pos="4680"/>
        <w:tab w:val="right" w:pos="9360"/>
      </w:tabs>
      <w:spacing w:after="0"/>
    </w:pPr>
  </w:style>
  <w:style w:type="character" w:customStyle="1" w:styleId="HeaderChar">
    <w:name w:val="Header Char"/>
    <w:basedOn w:val="DefaultParagraphFont"/>
    <w:link w:val="Header"/>
    <w:uiPriority w:val="99"/>
    <w:rsid w:val="002531ED"/>
  </w:style>
  <w:style w:type="paragraph" w:styleId="Footer">
    <w:name w:val="footer"/>
    <w:basedOn w:val="Normal"/>
    <w:link w:val="FooterChar"/>
    <w:uiPriority w:val="99"/>
    <w:unhideWhenUsed/>
    <w:rsid w:val="002531ED"/>
    <w:pPr>
      <w:tabs>
        <w:tab w:val="center" w:pos="4680"/>
        <w:tab w:val="right" w:pos="9360"/>
      </w:tabs>
      <w:spacing w:after="0"/>
    </w:pPr>
  </w:style>
  <w:style w:type="character" w:customStyle="1" w:styleId="FooterChar">
    <w:name w:val="Footer Char"/>
    <w:basedOn w:val="DefaultParagraphFont"/>
    <w:link w:val="Footer"/>
    <w:uiPriority w:val="99"/>
    <w:rsid w:val="002531ED"/>
  </w:style>
  <w:style w:type="paragraph" w:styleId="BalloonText">
    <w:name w:val="Balloon Text"/>
    <w:basedOn w:val="Normal"/>
    <w:link w:val="BalloonTextChar"/>
    <w:uiPriority w:val="99"/>
    <w:semiHidden/>
    <w:unhideWhenUsed/>
    <w:rsid w:val="002531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1ED"/>
    <w:rPr>
      <w:rFonts w:ascii="Tahoma" w:hAnsi="Tahoma" w:cs="Tahoma"/>
      <w:sz w:val="16"/>
      <w:szCs w:val="16"/>
    </w:rPr>
  </w:style>
  <w:style w:type="character" w:customStyle="1" w:styleId="Heading1Char">
    <w:name w:val="Heading 1 Char"/>
    <w:basedOn w:val="DefaultParagraphFont"/>
    <w:link w:val="Heading1"/>
    <w:uiPriority w:val="9"/>
    <w:rsid w:val="00505FA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B54"/>
    <w:pPr>
      <w:ind w:left="720"/>
      <w:contextualSpacing/>
    </w:pPr>
  </w:style>
  <w:style w:type="table" w:styleId="TableGrid">
    <w:name w:val="Table Grid"/>
    <w:basedOn w:val="TableNormal"/>
    <w:uiPriority w:val="59"/>
    <w:rsid w:val="00A84B5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A84B54"/>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de">
    <w:name w:val="Code"/>
    <w:basedOn w:val="Normal"/>
    <w:link w:val="CodeChar"/>
    <w:qFormat/>
    <w:rsid w:val="00A84B54"/>
    <w:pPr>
      <w:spacing w:after="0"/>
    </w:pPr>
    <w:rPr>
      <w:rFonts w:ascii="Courier New" w:hAnsi="Courier New" w:cs="Courier New"/>
      <w:sz w:val="20"/>
    </w:rPr>
  </w:style>
  <w:style w:type="character" w:customStyle="1" w:styleId="Heading2Char">
    <w:name w:val="Heading 2 Char"/>
    <w:basedOn w:val="DefaultParagraphFont"/>
    <w:link w:val="Heading2"/>
    <w:uiPriority w:val="9"/>
    <w:rsid w:val="0033659E"/>
    <w:rPr>
      <w:rFonts w:asciiTheme="majorHAnsi" w:eastAsiaTheme="majorEastAsia" w:hAnsiTheme="majorHAnsi" w:cstheme="majorBidi"/>
      <w:b/>
      <w:bCs/>
      <w:color w:val="4F81BD" w:themeColor="accent1"/>
      <w:sz w:val="26"/>
      <w:szCs w:val="26"/>
    </w:rPr>
  </w:style>
  <w:style w:type="character" w:customStyle="1" w:styleId="CodeChar">
    <w:name w:val="Code Char"/>
    <w:basedOn w:val="DefaultParagraphFont"/>
    <w:link w:val="Code"/>
    <w:rsid w:val="00A84B54"/>
    <w:rPr>
      <w:rFonts w:ascii="Courier New" w:hAnsi="Courier New" w:cs="Courier New"/>
      <w:sz w:val="20"/>
    </w:rPr>
  </w:style>
  <w:style w:type="character" w:styleId="CommentReference">
    <w:name w:val="annotation reference"/>
    <w:basedOn w:val="DefaultParagraphFont"/>
    <w:uiPriority w:val="99"/>
    <w:semiHidden/>
    <w:unhideWhenUsed/>
    <w:rsid w:val="009045FD"/>
    <w:rPr>
      <w:sz w:val="16"/>
      <w:szCs w:val="16"/>
    </w:rPr>
  </w:style>
  <w:style w:type="paragraph" w:styleId="CommentText">
    <w:name w:val="annotation text"/>
    <w:basedOn w:val="Normal"/>
    <w:link w:val="CommentTextChar"/>
    <w:uiPriority w:val="99"/>
    <w:semiHidden/>
    <w:unhideWhenUsed/>
    <w:rsid w:val="009045FD"/>
    <w:rPr>
      <w:sz w:val="20"/>
      <w:szCs w:val="20"/>
    </w:rPr>
  </w:style>
  <w:style w:type="character" w:customStyle="1" w:styleId="CommentTextChar">
    <w:name w:val="Comment Text Char"/>
    <w:basedOn w:val="DefaultParagraphFont"/>
    <w:link w:val="CommentText"/>
    <w:uiPriority w:val="99"/>
    <w:semiHidden/>
    <w:rsid w:val="009045FD"/>
    <w:rPr>
      <w:sz w:val="20"/>
      <w:szCs w:val="20"/>
    </w:rPr>
  </w:style>
  <w:style w:type="paragraph" w:styleId="CommentSubject">
    <w:name w:val="annotation subject"/>
    <w:basedOn w:val="CommentText"/>
    <w:next w:val="CommentText"/>
    <w:link w:val="CommentSubjectChar"/>
    <w:uiPriority w:val="99"/>
    <w:semiHidden/>
    <w:unhideWhenUsed/>
    <w:rsid w:val="009045FD"/>
    <w:rPr>
      <w:b/>
      <w:bCs/>
    </w:rPr>
  </w:style>
  <w:style w:type="character" w:customStyle="1" w:styleId="CommentSubjectChar">
    <w:name w:val="Comment Subject Char"/>
    <w:basedOn w:val="CommentTextChar"/>
    <w:link w:val="CommentSubject"/>
    <w:uiPriority w:val="99"/>
    <w:semiHidden/>
    <w:rsid w:val="009045FD"/>
    <w:rPr>
      <w:b/>
      <w:bCs/>
      <w:sz w:val="20"/>
      <w:szCs w:val="20"/>
    </w:rPr>
  </w:style>
  <w:style w:type="paragraph" w:styleId="Caption">
    <w:name w:val="caption"/>
    <w:basedOn w:val="Normal"/>
    <w:next w:val="Normal"/>
    <w:uiPriority w:val="35"/>
    <w:unhideWhenUsed/>
    <w:qFormat/>
    <w:rsid w:val="007B3B0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A9BAC1C8E54D8096FC87F66A798BB7"/>
        <w:category>
          <w:name w:val="General"/>
          <w:gallery w:val="placeholder"/>
        </w:category>
        <w:types>
          <w:type w:val="bbPlcHdr"/>
        </w:types>
        <w:behaviors>
          <w:behavior w:val="content"/>
        </w:behaviors>
        <w:guid w:val="{278AE61C-A36C-48C2-958F-38C591CF695F}"/>
      </w:docPartPr>
      <w:docPartBody>
        <w:p w:rsidR="00B40595" w:rsidRDefault="007F3995" w:rsidP="007F3995">
          <w:pPr>
            <w:pStyle w:val="8AA9BAC1C8E54D8096FC87F66A798BB7"/>
          </w:pPr>
          <w:r>
            <w:rPr>
              <w:color w:val="FFFFFF" w:themeColor="background1"/>
            </w:rPr>
            <w:t>[Pick the date]</w:t>
          </w:r>
        </w:p>
      </w:docPartBody>
    </w:docPart>
    <w:docPart>
      <w:docPartPr>
        <w:name w:val="AF6FE03E870446BEAF8DEB27252BDE27"/>
        <w:category>
          <w:name w:val="General"/>
          <w:gallery w:val="placeholder"/>
        </w:category>
        <w:types>
          <w:type w:val="bbPlcHdr"/>
        </w:types>
        <w:behaviors>
          <w:behavior w:val="content"/>
        </w:behaviors>
        <w:guid w:val="{F995A115-4313-4CB0-98C7-39BBEC0B55C6}"/>
      </w:docPartPr>
      <w:docPartBody>
        <w:p w:rsidR="00B40595" w:rsidRDefault="007F3995" w:rsidP="007F3995">
          <w:pPr>
            <w:pStyle w:val="AF6FE03E870446BEAF8DEB27252BDE27"/>
          </w:pPr>
          <w:r>
            <w:rPr>
              <w:b/>
              <w:bCs/>
              <w:caps/>
              <w:sz w:val="24"/>
            </w:rPr>
            <w:t>Type the document title</w:t>
          </w:r>
        </w:p>
      </w:docPartBody>
    </w:docPart>
    <w:docPart>
      <w:docPartPr>
        <w:name w:val="1A871462E4E246238387F933E3B96434"/>
        <w:category>
          <w:name w:val="General"/>
          <w:gallery w:val="placeholder"/>
        </w:category>
        <w:types>
          <w:type w:val="bbPlcHdr"/>
        </w:types>
        <w:behaviors>
          <w:behavior w:val="content"/>
        </w:behaviors>
        <w:guid w:val="{D902B189-957B-4C38-BC50-EB24CD7B935D}"/>
      </w:docPartPr>
      <w:docPartBody>
        <w:p w:rsidR="00B40595" w:rsidRDefault="007F3995" w:rsidP="007F3995">
          <w:pPr>
            <w:pStyle w:val="1A871462E4E246238387F933E3B96434"/>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95"/>
    <w:rsid w:val="000D70DA"/>
    <w:rsid w:val="00200893"/>
    <w:rsid w:val="00723486"/>
    <w:rsid w:val="007247B8"/>
    <w:rsid w:val="007F3995"/>
    <w:rsid w:val="008014DD"/>
    <w:rsid w:val="008A5CCE"/>
    <w:rsid w:val="00B40595"/>
    <w:rsid w:val="00E115FB"/>
    <w:rsid w:val="00F6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9BAC1C8E54D8096FC87F66A798BB7">
    <w:name w:val="8AA9BAC1C8E54D8096FC87F66A798BB7"/>
    <w:rsid w:val="007F3995"/>
  </w:style>
  <w:style w:type="paragraph" w:customStyle="1" w:styleId="AF6FE03E870446BEAF8DEB27252BDE27">
    <w:name w:val="AF6FE03E870446BEAF8DEB27252BDE27"/>
    <w:rsid w:val="007F3995"/>
  </w:style>
  <w:style w:type="paragraph" w:customStyle="1" w:styleId="1A871462E4E246238387F933E3B96434">
    <w:name w:val="1A871462E4E246238387F933E3B96434"/>
    <w:rsid w:val="007F3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2012-06-15T00:00:00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Perforce Software, Inc.</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based development in perforce</dc:title>
  <dc:creator>Randy DeFauw</dc:creator>
  <cp:lastModifiedBy>Randy DeFauw</cp:lastModifiedBy>
  <cp:revision>41</cp:revision>
  <dcterms:created xsi:type="dcterms:W3CDTF">2012-06-15T16:45:00Z</dcterms:created>
  <dcterms:modified xsi:type="dcterms:W3CDTF">2013-02-13T04:02:00Z</dcterms:modified>
</cp:coreProperties>
</file>